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D56" w:rsidRDefault="00F62D56">
      <w:pPr>
        <w:rPr>
          <w:rFonts w:ascii="Arial" w:hAnsi="Arial"/>
        </w:rPr>
      </w:pPr>
      <w:r>
        <w:rPr>
          <w:rFonts w:ascii="Arial" w:hAnsi="Arial"/>
          <w:sz w:val="20"/>
        </w:rPr>
        <w:t xml:space="preserve">Instructions for Use </w:t>
      </w:r>
      <w:r>
        <w:rPr>
          <w:rFonts w:ascii="Arial" w:hAnsi="Arial"/>
          <w:sz w:val="16"/>
        </w:rPr>
        <w:t>(Please read carefully before using)</w:t>
      </w:r>
    </w:p>
    <w:p w:rsidR="00F62D56" w:rsidRDefault="00F62D56">
      <w:pPr>
        <w:rPr>
          <w:rFonts w:ascii="Arial" w:hAnsi="Arial"/>
          <w:sz w:val="16"/>
        </w:rPr>
      </w:pPr>
    </w:p>
    <w:p w:rsidR="00F62D56" w:rsidRPr="005C0F04" w:rsidRDefault="00090011">
      <w:pPr>
        <w:pStyle w:val="Heading1"/>
        <w:rPr>
          <w:b/>
          <w:sz w:val="24"/>
        </w:rPr>
      </w:pPr>
      <w:r>
        <w:rPr>
          <w:sz w:val="32"/>
        </w:rPr>
        <w:t>HYPROCHON</w:t>
      </w:r>
      <w:r w:rsidR="002E7DE3">
        <w:rPr>
          <w:sz w:val="32"/>
        </w:rPr>
        <w:t>®</w:t>
      </w:r>
      <w:r w:rsidR="00F62D56">
        <w:tab/>
      </w:r>
      <w:r w:rsidR="00F62D56">
        <w:tab/>
      </w:r>
      <w:r w:rsidR="00F62D56">
        <w:tab/>
      </w:r>
      <w:r w:rsidR="00F62D56">
        <w:tab/>
      </w:r>
      <w:r w:rsidR="00F62D56">
        <w:tab/>
      </w:r>
      <w:r w:rsidR="00F62D56" w:rsidRPr="005C0F04">
        <w:rPr>
          <w:b/>
          <w:sz w:val="24"/>
        </w:rPr>
        <w:t>PATENTED</w:t>
      </w:r>
    </w:p>
    <w:p w:rsidR="00F62D56" w:rsidRPr="00FC79A0" w:rsidRDefault="00F62D56">
      <w:pPr>
        <w:pStyle w:val="Heading1"/>
        <w:ind w:left="720"/>
        <w:rPr>
          <w:b/>
          <w:i/>
          <w:sz w:val="24"/>
        </w:rPr>
      </w:pPr>
      <w:proofErr w:type="spellStart"/>
      <w:r w:rsidRPr="00FC79A0">
        <w:rPr>
          <w:b/>
          <w:sz w:val="24"/>
        </w:rPr>
        <w:t>Hydrogel</w:t>
      </w:r>
      <w:proofErr w:type="spellEnd"/>
      <w:r w:rsidRPr="00FC79A0">
        <w:rPr>
          <w:b/>
          <w:sz w:val="24"/>
        </w:rPr>
        <w:t xml:space="preserve"> wound dressing and burn dressing  </w:t>
      </w:r>
    </w:p>
    <w:p w:rsidR="00F62D56" w:rsidRDefault="00F62D56">
      <w:pPr>
        <w:ind w:firstLine="1440"/>
        <w:rPr>
          <w:rFonts w:ascii="Arial" w:hAnsi="Arial"/>
          <w:b/>
          <w:sz w:val="20"/>
        </w:rPr>
      </w:pPr>
    </w:p>
    <w:p w:rsidR="00F62D56" w:rsidRDefault="00F62D56">
      <w:pPr>
        <w:rPr>
          <w:rFonts w:ascii="Arial" w:hAnsi="Arial"/>
          <w:sz w:val="16"/>
        </w:rPr>
      </w:pPr>
      <w:r>
        <w:rPr>
          <w:rFonts w:ascii="Arial" w:hAnsi="Arial"/>
          <w:sz w:val="16"/>
        </w:rPr>
        <w:t xml:space="preserve">Sodium </w:t>
      </w:r>
      <w:proofErr w:type="spellStart"/>
      <w:r>
        <w:rPr>
          <w:rFonts w:ascii="Arial" w:hAnsi="Arial"/>
          <w:sz w:val="16"/>
        </w:rPr>
        <w:t>hyaluronate</w:t>
      </w:r>
      <w:proofErr w:type="spellEnd"/>
      <w:r>
        <w:rPr>
          <w:rFonts w:ascii="Arial" w:hAnsi="Arial"/>
          <w:sz w:val="16"/>
        </w:rPr>
        <w:t xml:space="preserve"> (HA) and polysulfated glycosaminoglycans (PSGAGs) play an important role in the wound healing process. Both products are considered “Chondroprotective” agents that support or enhance the connective tissue matrix, and as such are found in the chemical composition of connective tissue and soft tissue in humans and animals.  These novel compounds have become beneficial in the management of chronic and acute wounds and in many burn applications.  When HA and PSG</w:t>
      </w:r>
      <w:r w:rsidR="00090011">
        <w:rPr>
          <w:rFonts w:ascii="Arial" w:hAnsi="Arial"/>
          <w:sz w:val="16"/>
        </w:rPr>
        <w:t>A</w:t>
      </w:r>
      <w:r w:rsidR="002E7DE3">
        <w:rPr>
          <w:rFonts w:ascii="Arial" w:hAnsi="Arial"/>
          <w:sz w:val="16"/>
        </w:rPr>
        <w:t>Gs are combined, as in HYPROCHON®</w:t>
      </w:r>
      <w:r>
        <w:rPr>
          <w:rFonts w:ascii="Arial" w:hAnsi="Arial"/>
          <w:sz w:val="16"/>
        </w:rPr>
        <w:t>, they are synergistic and can effectively rehydrate dry wounds, maintain a moist healing environment</w:t>
      </w:r>
      <w:proofErr w:type="gramStart"/>
      <w:r>
        <w:rPr>
          <w:rFonts w:ascii="Arial" w:hAnsi="Arial"/>
          <w:sz w:val="16"/>
        </w:rPr>
        <w:t>,</w:t>
      </w:r>
      <w:r>
        <w:rPr>
          <w:rFonts w:ascii="Arial" w:hAnsi="Arial"/>
          <w:sz w:val="16"/>
          <w:vertAlign w:val="superscript"/>
        </w:rPr>
        <w:t>1,2,3</w:t>
      </w:r>
      <w:proofErr w:type="gramEnd"/>
      <w:r>
        <w:rPr>
          <w:rFonts w:ascii="Arial" w:hAnsi="Arial"/>
          <w:sz w:val="16"/>
        </w:rPr>
        <w:t xml:space="preserve"> and protect from tissue trauma</w:t>
      </w:r>
      <w:r>
        <w:rPr>
          <w:rFonts w:ascii="Arial" w:hAnsi="Arial"/>
          <w:sz w:val="16"/>
          <w:vertAlign w:val="superscript"/>
        </w:rPr>
        <w:t>2</w:t>
      </w:r>
      <w:r>
        <w:rPr>
          <w:rFonts w:ascii="Arial" w:hAnsi="Arial"/>
          <w:sz w:val="16"/>
        </w:rPr>
        <w:t xml:space="preserve">. </w:t>
      </w:r>
    </w:p>
    <w:p w:rsidR="00F62D56" w:rsidRDefault="00F62D56">
      <w:pPr>
        <w:rPr>
          <w:rFonts w:ascii="Arial" w:hAnsi="Arial"/>
          <w:sz w:val="16"/>
        </w:rPr>
      </w:pPr>
    </w:p>
    <w:p w:rsidR="00F62D56" w:rsidRDefault="00F62D56">
      <w:pPr>
        <w:rPr>
          <w:rFonts w:ascii="Arial" w:hAnsi="Arial"/>
          <w:sz w:val="20"/>
        </w:rPr>
      </w:pPr>
      <w:r>
        <w:rPr>
          <w:rFonts w:ascii="Arial" w:hAnsi="Arial"/>
          <w:b/>
          <w:sz w:val="20"/>
          <w:u w:val="single"/>
        </w:rPr>
        <w:t>Description</w:t>
      </w:r>
      <w:r>
        <w:rPr>
          <w:rFonts w:ascii="Arial" w:hAnsi="Arial"/>
          <w:b/>
          <w:sz w:val="20"/>
        </w:rPr>
        <w:t>:</w:t>
      </w:r>
    </w:p>
    <w:p w:rsidR="00F62D56" w:rsidRPr="005C0F04" w:rsidRDefault="00090011">
      <w:pPr>
        <w:rPr>
          <w:rFonts w:ascii="Arial" w:hAnsi="Arial"/>
          <w:b/>
          <w:sz w:val="18"/>
        </w:rPr>
      </w:pPr>
      <w:r>
        <w:rPr>
          <w:rFonts w:ascii="Arial" w:hAnsi="Arial"/>
          <w:sz w:val="18"/>
        </w:rPr>
        <w:t>HYPROCHON</w:t>
      </w:r>
      <w:r w:rsidR="002E7DE3">
        <w:rPr>
          <w:rFonts w:ascii="Arial" w:hAnsi="Arial"/>
          <w:sz w:val="18"/>
        </w:rPr>
        <w:t>®</w:t>
      </w:r>
      <w:r w:rsidR="00F62D56">
        <w:rPr>
          <w:rFonts w:ascii="Arial" w:hAnsi="Arial"/>
          <w:sz w:val="18"/>
        </w:rPr>
        <w:t xml:space="preserve"> is</w:t>
      </w:r>
      <w:r w:rsidR="002E7DE3">
        <w:rPr>
          <w:rFonts w:ascii="Arial" w:hAnsi="Arial"/>
          <w:sz w:val="18"/>
        </w:rPr>
        <w:t xml:space="preserve"> a sterile solution containing 10</w:t>
      </w:r>
      <w:r w:rsidR="00F62D56">
        <w:rPr>
          <w:rFonts w:ascii="Arial" w:hAnsi="Arial"/>
          <w:sz w:val="18"/>
        </w:rPr>
        <w:t xml:space="preserve">00 mg/10 </w:t>
      </w:r>
      <w:proofErr w:type="spellStart"/>
      <w:r w:rsidR="00F62D56">
        <w:rPr>
          <w:rFonts w:ascii="Arial" w:hAnsi="Arial"/>
          <w:sz w:val="18"/>
        </w:rPr>
        <w:t>mL</w:t>
      </w:r>
      <w:proofErr w:type="spellEnd"/>
      <w:r w:rsidR="00F62D56">
        <w:rPr>
          <w:rFonts w:ascii="Arial" w:hAnsi="Arial"/>
          <w:sz w:val="18"/>
        </w:rPr>
        <w:t xml:space="preserve"> </w:t>
      </w:r>
      <w:proofErr w:type="gramStart"/>
      <w:r w:rsidR="00F62D56">
        <w:rPr>
          <w:rFonts w:ascii="Arial" w:hAnsi="Arial"/>
          <w:sz w:val="18"/>
        </w:rPr>
        <w:t>of  polys</w:t>
      </w:r>
      <w:r w:rsidR="002E7DE3">
        <w:rPr>
          <w:rFonts w:ascii="Arial" w:hAnsi="Arial"/>
          <w:sz w:val="18"/>
        </w:rPr>
        <w:t>ulfated</w:t>
      </w:r>
      <w:proofErr w:type="gramEnd"/>
      <w:r w:rsidR="002E7DE3">
        <w:rPr>
          <w:rFonts w:ascii="Arial" w:hAnsi="Arial"/>
          <w:sz w:val="18"/>
        </w:rPr>
        <w:t xml:space="preserve"> glycosaminoglycan and 50</w:t>
      </w:r>
      <w:r w:rsidR="00F62D56">
        <w:rPr>
          <w:rFonts w:ascii="Arial" w:hAnsi="Arial"/>
          <w:sz w:val="18"/>
        </w:rPr>
        <w:t xml:space="preserve"> mg/10mL sodium </w:t>
      </w:r>
      <w:proofErr w:type="spellStart"/>
      <w:r w:rsidR="00F62D56">
        <w:rPr>
          <w:rFonts w:ascii="Arial" w:hAnsi="Arial"/>
          <w:sz w:val="18"/>
        </w:rPr>
        <w:t>hyaluronate</w:t>
      </w:r>
      <w:proofErr w:type="spellEnd"/>
      <w:r w:rsidR="00F62D56">
        <w:rPr>
          <w:rFonts w:ascii="Arial" w:hAnsi="Arial"/>
          <w:sz w:val="18"/>
        </w:rPr>
        <w:t xml:space="preserve"> packaged in a 10 mL vial.  </w:t>
      </w:r>
      <w:r w:rsidR="005C0F04">
        <w:rPr>
          <w:rFonts w:ascii="Arial" w:hAnsi="Arial"/>
          <w:b/>
          <w:sz w:val="18"/>
        </w:rPr>
        <w:t>Sterile topical wound management solution.</w:t>
      </w:r>
    </w:p>
    <w:p w:rsidR="00F62D56" w:rsidRDefault="00F62D56">
      <w:pPr>
        <w:rPr>
          <w:rFonts w:ascii="Arial" w:hAnsi="Arial"/>
          <w:b/>
          <w:sz w:val="20"/>
          <w:u w:val="single"/>
        </w:rPr>
      </w:pPr>
    </w:p>
    <w:p w:rsidR="00F62D56" w:rsidRDefault="00F62D56">
      <w:pPr>
        <w:rPr>
          <w:rFonts w:ascii="Arial" w:hAnsi="Arial"/>
          <w:b/>
          <w:i/>
          <w:sz w:val="20"/>
        </w:rPr>
      </w:pPr>
      <w:r>
        <w:rPr>
          <w:rFonts w:ascii="Arial" w:hAnsi="Arial"/>
          <w:b/>
          <w:sz w:val="20"/>
          <w:u w:val="single"/>
        </w:rPr>
        <w:t>Indications</w:t>
      </w:r>
      <w:r>
        <w:rPr>
          <w:rFonts w:ascii="Arial" w:hAnsi="Arial"/>
          <w:b/>
          <w:i/>
          <w:sz w:val="20"/>
        </w:rPr>
        <w:t>:</w:t>
      </w:r>
    </w:p>
    <w:p w:rsidR="00F62D56" w:rsidRDefault="00F62D56">
      <w:pPr>
        <w:rPr>
          <w:rFonts w:ascii="Arial" w:hAnsi="Arial"/>
          <w:sz w:val="18"/>
        </w:rPr>
      </w:pPr>
      <w:r>
        <w:rPr>
          <w:rFonts w:ascii="Arial" w:hAnsi="Arial"/>
          <w:sz w:val="18"/>
        </w:rPr>
        <w:sym w:font="Monotype Sorts" w:char="F075"/>
      </w:r>
      <w:r>
        <w:rPr>
          <w:rFonts w:ascii="Arial" w:hAnsi="Arial"/>
          <w:sz w:val="18"/>
        </w:rPr>
        <w:t xml:space="preserve"> Pressure ulcers (Stages I-IV) </w:t>
      </w:r>
      <w:r>
        <w:rPr>
          <w:rFonts w:ascii="Arial" w:hAnsi="Arial"/>
          <w:sz w:val="18"/>
        </w:rPr>
        <w:sym w:font="Monotype Sorts" w:char="F075"/>
      </w:r>
      <w:r>
        <w:rPr>
          <w:rFonts w:ascii="Arial" w:hAnsi="Arial"/>
          <w:sz w:val="18"/>
        </w:rPr>
        <w:t xml:space="preserve"> Venous stasis ulcers </w:t>
      </w:r>
      <w:r>
        <w:rPr>
          <w:rFonts w:ascii="Arial" w:hAnsi="Arial"/>
          <w:sz w:val="18"/>
        </w:rPr>
        <w:sym w:font="Monotype Sorts" w:char="F075"/>
      </w:r>
      <w:r>
        <w:rPr>
          <w:rFonts w:ascii="Arial" w:hAnsi="Arial"/>
          <w:sz w:val="18"/>
        </w:rPr>
        <w:t xml:space="preserve"> Diabetic ulcers </w:t>
      </w:r>
      <w:r>
        <w:rPr>
          <w:rFonts w:ascii="Arial" w:hAnsi="Arial"/>
          <w:sz w:val="18"/>
        </w:rPr>
        <w:sym w:font="Monotype Sorts" w:char="F075"/>
      </w:r>
      <w:r>
        <w:rPr>
          <w:rFonts w:ascii="Arial" w:hAnsi="Arial"/>
          <w:sz w:val="18"/>
        </w:rPr>
        <w:t xml:space="preserve"> First and Second Degree Burns </w:t>
      </w:r>
    </w:p>
    <w:p w:rsidR="00F62D56" w:rsidRDefault="00F62D56">
      <w:pPr>
        <w:rPr>
          <w:rFonts w:ascii="Arial" w:hAnsi="Arial"/>
          <w:sz w:val="18"/>
        </w:rPr>
      </w:pPr>
      <w:r>
        <w:rPr>
          <w:rFonts w:ascii="Arial" w:hAnsi="Arial"/>
          <w:sz w:val="18"/>
        </w:rPr>
        <w:sym w:font="Monotype Sorts" w:char="F075"/>
      </w:r>
      <w:r>
        <w:rPr>
          <w:rFonts w:ascii="Arial" w:hAnsi="Arial"/>
          <w:sz w:val="18"/>
        </w:rPr>
        <w:t xml:space="preserve"> Superficial wounds </w:t>
      </w:r>
      <w:r>
        <w:rPr>
          <w:rFonts w:ascii="Arial" w:hAnsi="Arial"/>
          <w:sz w:val="18"/>
        </w:rPr>
        <w:sym w:font="Monotype Sorts" w:char="F075"/>
      </w:r>
      <w:r>
        <w:rPr>
          <w:rFonts w:ascii="Arial" w:hAnsi="Arial"/>
          <w:sz w:val="18"/>
        </w:rPr>
        <w:t xml:space="preserve"> Partial and full-thickness wounds </w:t>
      </w:r>
      <w:r>
        <w:rPr>
          <w:rFonts w:ascii="Arial" w:hAnsi="Arial"/>
          <w:sz w:val="18"/>
        </w:rPr>
        <w:sym w:font="Monotype Sorts" w:char="F075"/>
      </w:r>
      <w:r>
        <w:rPr>
          <w:rFonts w:ascii="Arial" w:hAnsi="Arial"/>
          <w:sz w:val="18"/>
        </w:rPr>
        <w:t xml:space="preserve"> Traumatic wounds </w:t>
      </w:r>
      <w:r>
        <w:rPr>
          <w:rFonts w:ascii="Arial" w:hAnsi="Arial"/>
          <w:sz w:val="18"/>
        </w:rPr>
        <w:sym w:font="Monotype Sorts" w:char="F075"/>
      </w:r>
      <w:r>
        <w:rPr>
          <w:rFonts w:ascii="Arial" w:hAnsi="Arial"/>
          <w:sz w:val="18"/>
        </w:rPr>
        <w:t xml:space="preserve"> Secreting and bleeding dermal lesions </w:t>
      </w:r>
      <w:r>
        <w:rPr>
          <w:rFonts w:ascii="Arial" w:hAnsi="Arial"/>
          <w:sz w:val="18"/>
        </w:rPr>
        <w:sym w:font="Monotype Sorts" w:char="F075"/>
      </w:r>
      <w:r>
        <w:rPr>
          <w:rFonts w:ascii="Arial" w:hAnsi="Arial"/>
          <w:sz w:val="18"/>
        </w:rPr>
        <w:t xml:space="preserve"> Surgical wounds </w:t>
      </w:r>
      <w:r>
        <w:rPr>
          <w:rFonts w:ascii="Arial" w:hAnsi="Arial"/>
          <w:sz w:val="18"/>
        </w:rPr>
        <w:sym w:font="Monotype Sorts" w:char="F075"/>
      </w:r>
      <w:r>
        <w:rPr>
          <w:rFonts w:ascii="Arial" w:hAnsi="Arial"/>
          <w:sz w:val="18"/>
        </w:rPr>
        <w:t xml:space="preserve"> Autograft procedures </w:t>
      </w:r>
      <w:r>
        <w:rPr>
          <w:rFonts w:ascii="Arial" w:hAnsi="Arial"/>
          <w:sz w:val="18"/>
        </w:rPr>
        <w:sym w:font="Monotype Sorts" w:char="F075"/>
      </w:r>
      <w:r>
        <w:rPr>
          <w:rFonts w:ascii="Arial" w:hAnsi="Arial"/>
          <w:sz w:val="18"/>
        </w:rPr>
        <w:t xml:space="preserve"> Donor sites.</w:t>
      </w:r>
    </w:p>
    <w:p w:rsidR="00F62D56" w:rsidRDefault="00F62D56">
      <w:pPr>
        <w:rPr>
          <w:rFonts w:ascii="Arial" w:hAnsi="Arial"/>
          <w:sz w:val="16"/>
        </w:rPr>
      </w:pPr>
    </w:p>
    <w:p w:rsidR="00F62D56" w:rsidRDefault="00F62D56">
      <w:pPr>
        <w:rPr>
          <w:rFonts w:ascii="Arial" w:hAnsi="Arial"/>
          <w:b/>
          <w:sz w:val="20"/>
        </w:rPr>
      </w:pPr>
      <w:r>
        <w:rPr>
          <w:rFonts w:ascii="Arial" w:hAnsi="Arial"/>
          <w:b/>
          <w:sz w:val="20"/>
          <w:u w:val="single"/>
        </w:rPr>
        <w:t>Characteristics</w:t>
      </w:r>
      <w:r>
        <w:rPr>
          <w:rFonts w:ascii="Arial" w:hAnsi="Arial"/>
          <w:b/>
          <w:sz w:val="20"/>
        </w:rPr>
        <w:t>:</w:t>
      </w:r>
    </w:p>
    <w:p w:rsidR="005C0F04" w:rsidRDefault="00F62D56">
      <w:pPr>
        <w:rPr>
          <w:rFonts w:ascii="Arial" w:hAnsi="Arial"/>
          <w:sz w:val="18"/>
        </w:rPr>
      </w:pPr>
      <w:r>
        <w:rPr>
          <w:rFonts w:ascii="Arial" w:hAnsi="Arial"/>
          <w:sz w:val="18"/>
        </w:rPr>
        <w:sym w:font="Monotype Sorts" w:char="F075"/>
      </w:r>
      <w:r>
        <w:rPr>
          <w:rFonts w:ascii="Arial" w:hAnsi="Arial"/>
          <w:b/>
          <w:sz w:val="18"/>
        </w:rPr>
        <w:t xml:space="preserve"> </w:t>
      </w:r>
      <w:proofErr w:type="gramStart"/>
      <w:r w:rsidR="005C0F04">
        <w:rPr>
          <w:rFonts w:ascii="Arial" w:hAnsi="Arial"/>
          <w:sz w:val="18"/>
        </w:rPr>
        <w:t>helps</w:t>
      </w:r>
      <w:proofErr w:type="gramEnd"/>
      <w:r w:rsidR="005C0F04">
        <w:rPr>
          <w:rFonts w:ascii="Arial" w:hAnsi="Arial"/>
          <w:sz w:val="18"/>
        </w:rPr>
        <w:t xml:space="preserve"> manage chronic and acute wounds by providing a moisture rich environment</w:t>
      </w:r>
      <w:r>
        <w:rPr>
          <w:rFonts w:ascii="Arial" w:hAnsi="Arial"/>
          <w:sz w:val="18"/>
        </w:rPr>
        <w:t xml:space="preserve"> </w:t>
      </w:r>
    </w:p>
    <w:p w:rsidR="00F62D56" w:rsidRDefault="00F62D56">
      <w:pPr>
        <w:rPr>
          <w:rFonts w:ascii="Arial" w:hAnsi="Arial"/>
          <w:sz w:val="18"/>
        </w:rPr>
      </w:pPr>
      <w:r>
        <w:rPr>
          <w:rFonts w:ascii="Arial" w:hAnsi="Arial"/>
          <w:sz w:val="18"/>
        </w:rPr>
        <w:sym w:font="Monotype Sorts" w:char="F075"/>
      </w:r>
      <w:r>
        <w:rPr>
          <w:rFonts w:ascii="Arial" w:hAnsi="Arial"/>
          <w:sz w:val="18"/>
        </w:rPr>
        <w:t xml:space="preserve"> </w:t>
      </w:r>
      <w:proofErr w:type="gramStart"/>
      <w:r>
        <w:rPr>
          <w:rFonts w:ascii="Arial" w:hAnsi="Arial"/>
          <w:sz w:val="18"/>
        </w:rPr>
        <w:t>protects</w:t>
      </w:r>
      <w:proofErr w:type="gramEnd"/>
      <w:r>
        <w:rPr>
          <w:rFonts w:ascii="Arial" w:hAnsi="Arial"/>
          <w:sz w:val="18"/>
        </w:rPr>
        <w:t xml:space="preserve"> new granulation tissue </w:t>
      </w:r>
    </w:p>
    <w:p w:rsidR="00F62D56" w:rsidRDefault="00F62D56">
      <w:pPr>
        <w:rPr>
          <w:rFonts w:ascii="Arial" w:hAnsi="Arial"/>
          <w:sz w:val="18"/>
        </w:rPr>
      </w:pPr>
      <w:r>
        <w:rPr>
          <w:rFonts w:ascii="Arial" w:hAnsi="Arial"/>
          <w:sz w:val="18"/>
        </w:rPr>
        <w:sym w:font="Monotype Sorts" w:char="F075"/>
      </w:r>
      <w:r>
        <w:rPr>
          <w:rFonts w:ascii="Arial" w:hAnsi="Arial"/>
          <w:sz w:val="18"/>
        </w:rPr>
        <w:t xml:space="preserve"> </w:t>
      </w:r>
      <w:proofErr w:type="gramStart"/>
      <w:r>
        <w:rPr>
          <w:rFonts w:ascii="Arial" w:hAnsi="Arial"/>
          <w:sz w:val="18"/>
        </w:rPr>
        <w:t>promotes</w:t>
      </w:r>
      <w:proofErr w:type="gramEnd"/>
      <w:r>
        <w:rPr>
          <w:rFonts w:ascii="Arial" w:hAnsi="Arial"/>
          <w:sz w:val="18"/>
        </w:rPr>
        <w:t xml:space="preserve"> natural autolysis by rehydrating and softening necrotic tissue and eschar thereby encouraging autolytic    debridement </w:t>
      </w:r>
      <w:r>
        <w:rPr>
          <w:rFonts w:ascii="Arial" w:hAnsi="Arial"/>
          <w:sz w:val="18"/>
        </w:rPr>
        <w:sym w:font="Monotype Sorts" w:char="F075"/>
      </w:r>
      <w:r>
        <w:rPr>
          <w:rFonts w:ascii="Arial" w:hAnsi="Arial"/>
          <w:sz w:val="18"/>
        </w:rPr>
        <w:t xml:space="preserve"> conforms to any wound site </w:t>
      </w:r>
      <w:r>
        <w:rPr>
          <w:rFonts w:ascii="Arial" w:hAnsi="Arial"/>
          <w:sz w:val="18"/>
        </w:rPr>
        <w:sym w:font="Monotype Sorts" w:char="F075"/>
      </w:r>
      <w:r>
        <w:rPr>
          <w:rFonts w:ascii="Arial" w:hAnsi="Arial"/>
          <w:sz w:val="18"/>
        </w:rPr>
        <w:t xml:space="preserve"> easy to apply and redress</w:t>
      </w:r>
    </w:p>
    <w:p w:rsidR="00F62D56" w:rsidRDefault="00F62D56">
      <w:pPr>
        <w:rPr>
          <w:rFonts w:ascii="Arial" w:hAnsi="Arial"/>
          <w:b/>
          <w:sz w:val="20"/>
        </w:rPr>
      </w:pPr>
    </w:p>
    <w:p w:rsidR="00F62D56" w:rsidRDefault="00F62D56">
      <w:pPr>
        <w:rPr>
          <w:rFonts w:ascii="Arial" w:hAnsi="Arial"/>
          <w:b/>
          <w:sz w:val="20"/>
        </w:rPr>
      </w:pPr>
      <w:r>
        <w:rPr>
          <w:rFonts w:ascii="Arial" w:hAnsi="Arial"/>
          <w:b/>
          <w:sz w:val="20"/>
          <w:u w:val="single"/>
        </w:rPr>
        <w:t>Precautions and Contraindications</w:t>
      </w:r>
      <w:r>
        <w:rPr>
          <w:rFonts w:ascii="Arial" w:hAnsi="Arial"/>
          <w:b/>
          <w:sz w:val="20"/>
        </w:rPr>
        <w:t>:</w:t>
      </w:r>
    </w:p>
    <w:p w:rsidR="00F62D56" w:rsidRDefault="005C0F04">
      <w:pPr>
        <w:rPr>
          <w:rFonts w:ascii="Arial" w:hAnsi="Arial"/>
          <w:sz w:val="18"/>
        </w:rPr>
      </w:pPr>
      <w:r>
        <w:rPr>
          <w:rFonts w:ascii="Arial" w:hAnsi="Arial"/>
          <w:sz w:val="18"/>
        </w:rPr>
        <w:t xml:space="preserve">Not for food animal use. Discard unused portion. Federal law restricts this device to sale by or on the order of a licensed veterinarian. </w:t>
      </w:r>
      <w:r w:rsidR="00F62D56">
        <w:rPr>
          <w:rFonts w:ascii="Arial" w:hAnsi="Arial"/>
          <w:sz w:val="18"/>
        </w:rPr>
        <w:t xml:space="preserve">  </w:t>
      </w:r>
    </w:p>
    <w:p w:rsidR="00F62D56" w:rsidRDefault="00F62D56">
      <w:pPr>
        <w:rPr>
          <w:rFonts w:ascii="Arial" w:hAnsi="Arial"/>
          <w:b/>
          <w:sz w:val="16"/>
        </w:rPr>
      </w:pPr>
    </w:p>
    <w:p w:rsidR="00F62D56" w:rsidRDefault="00F62D56">
      <w:pPr>
        <w:rPr>
          <w:rFonts w:ascii="Arial" w:hAnsi="Arial"/>
          <w:sz w:val="18"/>
        </w:rPr>
      </w:pPr>
      <w:r>
        <w:rPr>
          <w:rFonts w:ascii="Arial" w:hAnsi="Arial"/>
          <w:b/>
          <w:sz w:val="20"/>
          <w:u w:val="single"/>
        </w:rPr>
        <w:t>Product Administration</w:t>
      </w:r>
      <w:r w:rsidR="005C0F04">
        <w:rPr>
          <w:rFonts w:ascii="Arial" w:hAnsi="Arial"/>
          <w:b/>
          <w:sz w:val="20"/>
          <w:u w:val="single"/>
        </w:rPr>
        <w:t xml:space="preserve"> (u</w:t>
      </w:r>
      <w:r w:rsidR="00090011">
        <w:rPr>
          <w:rFonts w:ascii="Arial" w:hAnsi="Arial"/>
          <w:sz w:val="18"/>
          <w:u w:val="single"/>
        </w:rPr>
        <w:t>sing HYPROCHON</w:t>
      </w:r>
      <w:r w:rsidR="002E7DE3">
        <w:rPr>
          <w:rFonts w:ascii="Arial" w:hAnsi="Arial"/>
          <w:sz w:val="18"/>
          <w:u w:val="single"/>
        </w:rPr>
        <w:t>®</w:t>
      </w:r>
      <w:r>
        <w:rPr>
          <w:rFonts w:ascii="Arial" w:hAnsi="Arial"/>
          <w:sz w:val="18"/>
        </w:rPr>
        <w:t>:</w:t>
      </w:r>
    </w:p>
    <w:p w:rsidR="00F62D56" w:rsidRDefault="00F62D56">
      <w:pPr>
        <w:rPr>
          <w:rFonts w:ascii="Arial" w:hAnsi="Arial"/>
          <w:i/>
          <w:sz w:val="18"/>
        </w:rPr>
      </w:pPr>
      <w:r>
        <w:rPr>
          <w:rFonts w:ascii="Arial" w:hAnsi="Arial"/>
          <w:sz w:val="18"/>
        </w:rPr>
        <w:t>1. Cleanse wound/surgical site.</w:t>
      </w:r>
    </w:p>
    <w:p w:rsidR="00F62D56" w:rsidRDefault="00F62D56">
      <w:pPr>
        <w:rPr>
          <w:rFonts w:ascii="Arial" w:hAnsi="Arial"/>
          <w:sz w:val="18"/>
        </w:rPr>
      </w:pPr>
      <w:r>
        <w:rPr>
          <w:rFonts w:ascii="Arial" w:hAnsi="Arial"/>
          <w:sz w:val="18"/>
        </w:rPr>
        <w:t xml:space="preserve">2. </w:t>
      </w:r>
      <w:r w:rsidR="005C0F04">
        <w:rPr>
          <w:rFonts w:ascii="Arial" w:hAnsi="Arial"/>
          <w:sz w:val="18"/>
        </w:rPr>
        <w:t>W</w:t>
      </w:r>
      <w:r>
        <w:rPr>
          <w:rFonts w:ascii="Arial" w:hAnsi="Arial"/>
          <w:sz w:val="18"/>
        </w:rPr>
        <w:t xml:space="preserve">ithdraw the </w:t>
      </w:r>
      <w:r w:rsidR="005C0F04">
        <w:rPr>
          <w:rFonts w:ascii="Arial" w:hAnsi="Arial"/>
          <w:sz w:val="18"/>
        </w:rPr>
        <w:t xml:space="preserve">HA/PSGAG </w:t>
      </w:r>
      <w:r>
        <w:rPr>
          <w:rFonts w:ascii="Arial" w:hAnsi="Arial"/>
          <w:sz w:val="18"/>
        </w:rPr>
        <w:t>solution.</w:t>
      </w:r>
    </w:p>
    <w:p w:rsidR="00F62D56" w:rsidRDefault="00F62D56">
      <w:pPr>
        <w:rPr>
          <w:rFonts w:ascii="Arial" w:hAnsi="Arial"/>
          <w:sz w:val="18"/>
        </w:rPr>
      </w:pPr>
      <w:r>
        <w:rPr>
          <w:rFonts w:ascii="Arial" w:hAnsi="Arial"/>
          <w:sz w:val="18"/>
        </w:rPr>
        <w:t xml:space="preserve">3. </w:t>
      </w:r>
      <w:r w:rsidR="005C0F04">
        <w:rPr>
          <w:rFonts w:ascii="Arial" w:hAnsi="Arial"/>
          <w:sz w:val="18"/>
        </w:rPr>
        <w:t>Dispense topically onto the wound site</w:t>
      </w:r>
      <w:r>
        <w:rPr>
          <w:rFonts w:ascii="Arial" w:hAnsi="Arial"/>
          <w:sz w:val="18"/>
        </w:rPr>
        <w:t>.</w:t>
      </w:r>
    </w:p>
    <w:p w:rsidR="00F62D56" w:rsidRDefault="00F62D56">
      <w:pPr>
        <w:rPr>
          <w:rFonts w:ascii="Arial" w:hAnsi="Arial"/>
          <w:sz w:val="18"/>
        </w:rPr>
      </w:pPr>
      <w:r>
        <w:rPr>
          <w:rFonts w:ascii="Arial" w:hAnsi="Arial"/>
          <w:sz w:val="18"/>
        </w:rPr>
        <w:t xml:space="preserve">4. Cover </w:t>
      </w:r>
      <w:r w:rsidR="005C0F04">
        <w:rPr>
          <w:rFonts w:ascii="Arial" w:hAnsi="Arial"/>
          <w:sz w:val="18"/>
        </w:rPr>
        <w:t>wound</w:t>
      </w:r>
      <w:r>
        <w:rPr>
          <w:rFonts w:ascii="Arial" w:hAnsi="Arial"/>
          <w:sz w:val="18"/>
        </w:rPr>
        <w:t xml:space="preserve"> with </w:t>
      </w:r>
      <w:r w:rsidR="005C0F04">
        <w:rPr>
          <w:rFonts w:ascii="Arial" w:hAnsi="Arial"/>
          <w:sz w:val="18"/>
        </w:rPr>
        <w:t xml:space="preserve">a </w:t>
      </w:r>
      <w:r>
        <w:rPr>
          <w:rFonts w:ascii="Arial" w:hAnsi="Arial"/>
          <w:sz w:val="18"/>
        </w:rPr>
        <w:t>non-stick dressing</w:t>
      </w:r>
      <w:r w:rsidR="005C0F04">
        <w:rPr>
          <w:rFonts w:ascii="Arial" w:hAnsi="Arial"/>
          <w:sz w:val="18"/>
        </w:rPr>
        <w:t>.</w:t>
      </w:r>
    </w:p>
    <w:p w:rsidR="00F62D56" w:rsidRDefault="00F62D56">
      <w:pPr>
        <w:rPr>
          <w:rFonts w:ascii="Arial" w:hAnsi="Arial"/>
          <w:i/>
          <w:sz w:val="18"/>
        </w:rPr>
      </w:pPr>
      <w:r>
        <w:rPr>
          <w:rFonts w:ascii="Arial" w:hAnsi="Arial"/>
          <w:sz w:val="18"/>
        </w:rPr>
        <w:t>5. Change dressing as needed, r</w:t>
      </w:r>
      <w:r w:rsidR="00090011">
        <w:rPr>
          <w:rFonts w:ascii="Arial" w:hAnsi="Arial"/>
          <w:sz w:val="18"/>
        </w:rPr>
        <w:t>epeating application of HYPROCHON</w:t>
      </w:r>
      <w:r w:rsidR="002E7DE3">
        <w:rPr>
          <w:rFonts w:ascii="Arial" w:hAnsi="Arial"/>
          <w:sz w:val="18"/>
        </w:rPr>
        <w:t>®.</w:t>
      </w:r>
    </w:p>
    <w:p w:rsidR="00F62D56" w:rsidRDefault="00F62D56">
      <w:pPr>
        <w:rPr>
          <w:rFonts w:ascii="Arial" w:hAnsi="Arial"/>
          <w:sz w:val="18"/>
        </w:rPr>
      </w:pPr>
      <w:r>
        <w:rPr>
          <w:rFonts w:ascii="Arial" w:hAnsi="Arial"/>
          <w:sz w:val="18"/>
        </w:rPr>
        <w:t>*Wounds that are contaminated and/or infected should be debr</w:t>
      </w:r>
      <w:r w:rsidR="00090011">
        <w:rPr>
          <w:rFonts w:ascii="Arial" w:hAnsi="Arial"/>
          <w:sz w:val="18"/>
        </w:rPr>
        <w:t>i</w:t>
      </w:r>
      <w:r w:rsidR="002E7DE3">
        <w:rPr>
          <w:rFonts w:ascii="Arial" w:hAnsi="Arial"/>
          <w:sz w:val="18"/>
        </w:rPr>
        <w:t>ded prior to using the HYPROCHON®</w:t>
      </w:r>
      <w:r>
        <w:rPr>
          <w:rFonts w:ascii="Arial" w:hAnsi="Arial"/>
          <w:sz w:val="18"/>
        </w:rPr>
        <w:t xml:space="preserve"> product.</w:t>
      </w:r>
    </w:p>
    <w:p w:rsidR="00F62D56" w:rsidRDefault="00F62D56">
      <w:pPr>
        <w:rPr>
          <w:rFonts w:ascii="Arial" w:hAnsi="Arial"/>
          <w:b/>
          <w:i/>
          <w:sz w:val="16"/>
        </w:rPr>
      </w:pPr>
    </w:p>
    <w:p w:rsidR="00F62D56" w:rsidRDefault="00F62D56">
      <w:pPr>
        <w:rPr>
          <w:rFonts w:ascii="Arial" w:hAnsi="Arial"/>
          <w:b/>
          <w:sz w:val="20"/>
          <w:u w:val="single"/>
        </w:rPr>
      </w:pPr>
      <w:r>
        <w:rPr>
          <w:rFonts w:ascii="Arial" w:hAnsi="Arial"/>
          <w:b/>
          <w:sz w:val="20"/>
          <w:u w:val="single"/>
        </w:rPr>
        <w:t>Storage:</w:t>
      </w:r>
    </w:p>
    <w:p w:rsidR="00F62D56" w:rsidRDefault="00F62D56">
      <w:pPr>
        <w:rPr>
          <w:rFonts w:ascii="Arial" w:hAnsi="Arial"/>
          <w:sz w:val="18"/>
        </w:rPr>
      </w:pPr>
      <w:r>
        <w:rPr>
          <w:rFonts w:ascii="Arial" w:hAnsi="Arial"/>
          <w:sz w:val="18"/>
        </w:rPr>
        <w:sym w:font="Monotype Sorts" w:char="F075"/>
      </w:r>
      <w:r>
        <w:rPr>
          <w:rFonts w:ascii="Arial" w:hAnsi="Arial"/>
          <w:sz w:val="18"/>
        </w:rPr>
        <w:t xml:space="preserve"> Store at room temperature</w:t>
      </w:r>
      <w:r>
        <w:rPr>
          <w:rFonts w:ascii="Arial" w:hAnsi="Arial"/>
          <w:sz w:val="18"/>
        </w:rPr>
        <w:tab/>
        <w:t xml:space="preserve"> </w:t>
      </w:r>
      <w:r>
        <w:rPr>
          <w:rFonts w:ascii="Arial" w:hAnsi="Arial"/>
          <w:sz w:val="18"/>
        </w:rPr>
        <w:sym w:font="Monotype Sorts" w:char="F075"/>
      </w:r>
      <w:r>
        <w:rPr>
          <w:rFonts w:ascii="Arial" w:hAnsi="Arial"/>
          <w:sz w:val="18"/>
        </w:rPr>
        <w:t xml:space="preserve"> Protect from freezing</w:t>
      </w:r>
      <w:r w:rsidR="005C0F04">
        <w:rPr>
          <w:rFonts w:ascii="Arial" w:hAnsi="Arial"/>
          <w:sz w:val="18"/>
        </w:rPr>
        <w:tab/>
      </w:r>
      <w:r w:rsidR="005C0F04">
        <w:rPr>
          <w:rFonts w:ascii="Arial" w:hAnsi="Arial"/>
          <w:sz w:val="18"/>
        </w:rPr>
        <w:sym w:font="Monotype Sorts" w:char="F075"/>
      </w:r>
      <w:r w:rsidR="005C0F04">
        <w:rPr>
          <w:rFonts w:ascii="Arial" w:hAnsi="Arial"/>
          <w:sz w:val="18"/>
        </w:rPr>
        <w:t xml:space="preserve"> Sterile when unopened</w:t>
      </w:r>
    </w:p>
    <w:p w:rsidR="00F62D56" w:rsidRDefault="00F62D56">
      <w:pPr>
        <w:rPr>
          <w:rFonts w:ascii="Arial" w:hAnsi="Arial"/>
          <w:b/>
          <w:sz w:val="16"/>
          <w:u w:val="single"/>
        </w:rPr>
      </w:pPr>
    </w:p>
    <w:p w:rsidR="00F62D56" w:rsidRDefault="00F62D56">
      <w:pPr>
        <w:rPr>
          <w:rFonts w:ascii="Arial" w:hAnsi="Arial"/>
          <w:b/>
          <w:sz w:val="20"/>
        </w:rPr>
      </w:pPr>
      <w:r>
        <w:rPr>
          <w:rFonts w:ascii="Arial" w:hAnsi="Arial"/>
          <w:b/>
          <w:sz w:val="20"/>
          <w:u w:val="single"/>
        </w:rPr>
        <w:t>How Supplied</w:t>
      </w:r>
      <w:r>
        <w:rPr>
          <w:rFonts w:ascii="Arial" w:hAnsi="Arial"/>
          <w:b/>
          <w:sz w:val="20"/>
        </w:rPr>
        <w:t>:</w:t>
      </w:r>
    </w:p>
    <w:p w:rsidR="00F62D56" w:rsidRDefault="00F62D56">
      <w:pPr>
        <w:rPr>
          <w:rFonts w:ascii="Arial" w:hAnsi="Arial"/>
          <w:i/>
          <w:sz w:val="18"/>
        </w:rPr>
      </w:pPr>
      <w:r>
        <w:rPr>
          <w:rFonts w:ascii="Arial" w:hAnsi="Arial"/>
          <w:sz w:val="18"/>
        </w:rPr>
        <w:t>HYPRO</w:t>
      </w:r>
      <w:r w:rsidR="00090011">
        <w:rPr>
          <w:rFonts w:ascii="Arial" w:hAnsi="Arial"/>
          <w:sz w:val="18"/>
        </w:rPr>
        <w:t>CHON</w:t>
      </w:r>
      <w:r w:rsidR="002E7DE3">
        <w:rPr>
          <w:rFonts w:ascii="Arial" w:hAnsi="Arial"/>
          <w:sz w:val="18"/>
        </w:rPr>
        <w:t>®</w:t>
      </w:r>
      <w:r>
        <w:rPr>
          <w:rFonts w:ascii="Arial" w:hAnsi="Arial"/>
          <w:sz w:val="18"/>
        </w:rPr>
        <w:t xml:space="preserve"> is supplied in a sterile 10 mL vial.</w:t>
      </w:r>
    </w:p>
    <w:p w:rsidR="00F62D56" w:rsidRDefault="00F62D56">
      <w:pPr>
        <w:rPr>
          <w:rFonts w:ascii="Arial" w:hAnsi="Arial"/>
          <w:b/>
          <w:i/>
          <w:sz w:val="16"/>
        </w:rPr>
      </w:pPr>
    </w:p>
    <w:p w:rsidR="00F62D56" w:rsidRDefault="00F62D56">
      <w:pPr>
        <w:rPr>
          <w:rFonts w:ascii="Arial" w:hAnsi="Arial"/>
          <w:b/>
          <w:sz w:val="20"/>
        </w:rPr>
      </w:pPr>
      <w:r>
        <w:rPr>
          <w:rFonts w:ascii="Arial" w:hAnsi="Arial"/>
          <w:b/>
          <w:sz w:val="20"/>
          <w:u w:val="single"/>
        </w:rPr>
        <w:t>Product Ordering Information</w:t>
      </w:r>
      <w:r>
        <w:rPr>
          <w:rFonts w:ascii="Arial" w:hAnsi="Arial"/>
          <w:b/>
          <w:sz w:val="20"/>
        </w:rPr>
        <w:t>:</w:t>
      </w:r>
    </w:p>
    <w:p w:rsidR="00F62D56" w:rsidRDefault="00F62D56">
      <w:pPr>
        <w:rPr>
          <w:rFonts w:ascii="Arial" w:hAnsi="Arial"/>
          <w:sz w:val="20"/>
        </w:rPr>
      </w:pPr>
      <w:r>
        <w:rPr>
          <w:rFonts w:ascii="Arial" w:hAnsi="Arial"/>
          <w:sz w:val="18"/>
        </w:rPr>
        <w:t>Reorder # 10401</w:t>
      </w:r>
      <w:r w:rsidR="002E7DE3">
        <w:rPr>
          <w:rFonts w:ascii="Arial" w:hAnsi="Arial"/>
          <w:sz w:val="18"/>
        </w:rPr>
        <w:t xml:space="preserve"> -  1000mg/5</w:t>
      </w:r>
      <w:r w:rsidR="00090011">
        <w:rPr>
          <w:rFonts w:ascii="Arial" w:hAnsi="Arial"/>
          <w:sz w:val="18"/>
        </w:rPr>
        <w:t xml:space="preserve">0 </w:t>
      </w:r>
      <w:proofErr w:type="spellStart"/>
      <w:r w:rsidR="00090011">
        <w:rPr>
          <w:rFonts w:ascii="Arial" w:hAnsi="Arial"/>
          <w:sz w:val="18"/>
        </w:rPr>
        <w:t>mL</w:t>
      </w:r>
      <w:proofErr w:type="spellEnd"/>
      <w:r w:rsidR="00090011">
        <w:rPr>
          <w:rFonts w:ascii="Arial" w:hAnsi="Arial"/>
          <w:sz w:val="18"/>
        </w:rPr>
        <w:t xml:space="preserve"> vial HYPROCHON</w:t>
      </w:r>
      <w:r w:rsidR="002E7DE3">
        <w:rPr>
          <w:rFonts w:ascii="Arial" w:hAnsi="Arial"/>
          <w:sz w:val="18"/>
        </w:rPr>
        <w:t>®</w:t>
      </w:r>
    </w:p>
    <w:p w:rsidR="00F62D56" w:rsidRDefault="00F62D56">
      <w:pPr>
        <w:rPr>
          <w:rFonts w:ascii="Arial" w:hAnsi="Arial"/>
          <w:sz w:val="16"/>
        </w:rPr>
      </w:pPr>
    </w:p>
    <w:p w:rsidR="00F62D56" w:rsidRDefault="00F62D56">
      <w:pPr>
        <w:rPr>
          <w:rFonts w:ascii="Arial" w:hAnsi="Arial"/>
          <w:b/>
          <w:sz w:val="20"/>
        </w:rPr>
      </w:pPr>
      <w:r>
        <w:rPr>
          <w:rFonts w:ascii="Arial" w:hAnsi="Arial"/>
          <w:b/>
          <w:sz w:val="20"/>
          <w:u w:val="single"/>
        </w:rPr>
        <w:t>References</w:t>
      </w:r>
      <w:r>
        <w:rPr>
          <w:rFonts w:ascii="Arial" w:hAnsi="Arial"/>
          <w:b/>
          <w:sz w:val="20"/>
        </w:rPr>
        <w:t>:</w:t>
      </w:r>
    </w:p>
    <w:p w:rsidR="00F62D56" w:rsidRDefault="00F62D56">
      <w:pPr>
        <w:rPr>
          <w:rFonts w:ascii="Arial" w:hAnsi="Arial"/>
          <w:sz w:val="16"/>
        </w:rPr>
      </w:pPr>
      <w:r>
        <w:rPr>
          <w:b/>
          <w:sz w:val="12"/>
        </w:rPr>
        <w:t>1</w:t>
      </w:r>
      <w:r>
        <w:rPr>
          <w:rFonts w:ascii="Arial" w:hAnsi="Arial"/>
          <w:sz w:val="16"/>
        </w:rPr>
        <w:t>.   Lassus, A. Jeskahen, L., et al: Imdeen for the treatment of degenerated skin in females.   Journal of Int’l Research.  19(2): 147-52.</w:t>
      </w:r>
    </w:p>
    <w:p w:rsidR="00F62D56" w:rsidRDefault="00F62D56">
      <w:pPr>
        <w:pStyle w:val="BodyText"/>
      </w:pPr>
      <w:r>
        <w:t xml:space="preserve">2.   Cooper, ML, Hansbrough, JF. Use of a composite skin graft composed of fibroblasts and a  collagen-GAG matrix to cover full-                  thickness wounds.   Surgery.  Feb. 1991; 109(2): 198-207.  </w:t>
      </w:r>
    </w:p>
    <w:p w:rsidR="00F62D56" w:rsidRDefault="00F62D56">
      <w:pPr>
        <w:rPr>
          <w:rFonts w:ascii="Arial" w:hAnsi="Arial"/>
          <w:sz w:val="16"/>
        </w:rPr>
      </w:pPr>
      <w:r>
        <w:rPr>
          <w:rFonts w:ascii="Arial" w:hAnsi="Arial"/>
          <w:sz w:val="16"/>
        </w:rPr>
        <w:t>3.   Breborowitz, A. , et al: Glycosaminoglycan chondroitin sulfate prevent loss of ultra filtration during peritoneal dialysis in rats.                       Nephron. 1994; 67(3): 346-50.</w:t>
      </w:r>
    </w:p>
    <w:p w:rsidR="00F62D56" w:rsidRDefault="00F62D56">
      <w:pPr>
        <w:jc w:val="center"/>
        <w:rPr>
          <w:rFonts w:ascii="Arial" w:hAnsi="Arial"/>
          <w:b/>
          <w:i/>
          <w:sz w:val="16"/>
        </w:rPr>
      </w:pPr>
      <w:r>
        <w:rPr>
          <w:rFonts w:ascii="Arial" w:hAnsi="Arial"/>
          <w:i/>
          <w:sz w:val="16"/>
        </w:rPr>
        <w:tab/>
      </w:r>
      <w:r>
        <w:rPr>
          <w:rFonts w:ascii="Arial" w:hAnsi="Arial"/>
          <w:i/>
          <w:sz w:val="16"/>
        </w:rPr>
        <w:tab/>
      </w:r>
      <w:r>
        <w:rPr>
          <w:rFonts w:ascii="Arial" w:hAnsi="Arial"/>
          <w:i/>
          <w:sz w:val="16"/>
        </w:rPr>
        <w:tab/>
      </w:r>
      <w:r>
        <w:rPr>
          <w:rFonts w:ascii="Arial" w:hAnsi="Arial"/>
          <w:i/>
          <w:sz w:val="16"/>
        </w:rPr>
        <w:tab/>
      </w:r>
      <w:r>
        <w:rPr>
          <w:rFonts w:ascii="Arial" w:hAnsi="Arial"/>
          <w:i/>
          <w:sz w:val="16"/>
        </w:rPr>
        <w:tab/>
      </w:r>
      <w:r>
        <w:rPr>
          <w:rFonts w:ascii="Arial" w:hAnsi="Arial"/>
          <w:i/>
          <w:sz w:val="16"/>
        </w:rPr>
        <w:tab/>
      </w:r>
      <w:r>
        <w:rPr>
          <w:rFonts w:ascii="Arial" w:hAnsi="Arial"/>
          <w:i/>
          <w:sz w:val="16"/>
        </w:rPr>
        <w:tab/>
      </w:r>
      <w:r>
        <w:rPr>
          <w:rFonts w:ascii="Arial" w:hAnsi="Arial"/>
          <w:i/>
          <w:sz w:val="16"/>
        </w:rPr>
        <w:tab/>
      </w:r>
      <w:r>
        <w:rPr>
          <w:rFonts w:ascii="Arial" w:hAnsi="Arial"/>
          <w:i/>
          <w:sz w:val="16"/>
        </w:rPr>
        <w:tab/>
      </w:r>
      <w:r>
        <w:rPr>
          <w:rFonts w:ascii="Arial" w:hAnsi="Arial"/>
          <w:i/>
          <w:sz w:val="16"/>
        </w:rPr>
        <w:tab/>
      </w:r>
      <w:r>
        <w:rPr>
          <w:rFonts w:ascii="Arial" w:hAnsi="Arial"/>
          <w:i/>
          <w:sz w:val="16"/>
        </w:rPr>
        <w:tab/>
      </w:r>
      <w:r>
        <w:rPr>
          <w:rFonts w:ascii="Arial" w:hAnsi="Arial"/>
          <w:i/>
          <w:sz w:val="16"/>
        </w:rPr>
        <w:tab/>
      </w:r>
      <w:r>
        <w:rPr>
          <w:rFonts w:ascii="Arial" w:hAnsi="Arial"/>
          <w:b/>
          <w:i/>
          <w:sz w:val="16"/>
        </w:rPr>
        <w:tab/>
      </w:r>
    </w:p>
    <w:p w:rsidR="00F62D56" w:rsidRDefault="00F62D56">
      <w:pPr>
        <w:rPr>
          <w:rFonts w:ascii="Arial" w:hAnsi="Arial"/>
          <w:b/>
          <w:sz w:val="16"/>
        </w:rPr>
      </w:pPr>
      <w:r>
        <w:rPr>
          <w:rFonts w:ascii="Arial" w:hAnsi="Arial"/>
          <w:b/>
          <w:sz w:val="18"/>
        </w:rPr>
        <w:t xml:space="preserve">The Hymed Group Corporation </w:t>
      </w:r>
      <w:r>
        <w:rPr>
          <w:rFonts w:ascii="Arial" w:hAnsi="Arial"/>
          <w:b/>
          <w:sz w:val="18"/>
        </w:rPr>
        <w:sym w:font="Monotype Sorts" w:char="F075"/>
      </w:r>
      <w:r>
        <w:rPr>
          <w:rFonts w:ascii="Arial" w:hAnsi="Arial"/>
          <w:b/>
          <w:sz w:val="18"/>
        </w:rPr>
        <w:t xml:space="preserve"> 1890 Bucknell Drive </w:t>
      </w:r>
      <w:r>
        <w:rPr>
          <w:rFonts w:ascii="Arial" w:hAnsi="Arial"/>
          <w:b/>
          <w:sz w:val="18"/>
        </w:rPr>
        <w:sym w:font="Monotype Sorts" w:char="F075"/>
      </w:r>
      <w:r>
        <w:rPr>
          <w:rFonts w:ascii="Arial" w:hAnsi="Arial"/>
          <w:b/>
          <w:sz w:val="18"/>
        </w:rPr>
        <w:t xml:space="preserve"> Bethlehem, PA </w:t>
      </w:r>
      <w:r>
        <w:rPr>
          <w:rFonts w:ascii="Arial" w:hAnsi="Arial"/>
          <w:b/>
          <w:sz w:val="18"/>
        </w:rPr>
        <w:sym w:font="Monotype Sorts" w:char="F075"/>
      </w:r>
      <w:r>
        <w:rPr>
          <w:rFonts w:ascii="Arial" w:hAnsi="Arial"/>
          <w:b/>
          <w:sz w:val="18"/>
        </w:rPr>
        <w:t xml:space="preserve"> 18015 </w:t>
      </w:r>
      <w:r>
        <w:rPr>
          <w:rFonts w:ascii="Arial" w:hAnsi="Arial"/>
          <w:b/>
          <w:sz w:val="16"/>
        </w:rPr>
        <w:tab/>
      </w:r>
    </w:p>
    <w:p w:rsidR="00F62D56" w:rsidRDefault="00F62D56">
      <w:pPr>
        <w:pStyle w:val="BodyText"/>
      </w:pPr>
      <w:r>
        <w:t xml:space="preserve">The information given herein is believed to be reliable.  However, no guarantee is made or liability assumed.  The Hymed Group Corporation does not know all of the uses to which its products may  be utilized or the condition of use.  Therefore, The Hymed Group Corporation makes no claims or warranty concerning the fitness or suitability of the product for a particular use or purpose other than those outlined. </w:t>
      </w:r>
      <w:r>
        <w:tab/>
      </w:r>
    </w:p>
    <w:sectPr w:rsidR="00F62D56" w:rsidSect="00276163">
      <w:endnotePr>
        <w:numFmt w:val="decimal"/>
      </w:endnotePr>
      <w:pgSz w:w="12240" w:h="15840"/>
      <w:pgMar w:top="1440" w:right="1440" w:bottom="1440" w:left="1440" w:header="1440" w:footer="1440" w:gutter="0"/>
      <w:noEndnote/>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onotype Sorts">
    <w:panose1 w:val="01010601010101010101"/>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66297"/>
    <w:multiLevelType w:val="singleLevel"/>
    <w:tmpl w:val="04090001"/>
    <w:lvl w:ilvl="0">
      <w:start w:val="5"/>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proofState w:spelling="clean" w:grammar="clean"/>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rsids>
    <w:rsidRoot w:val="00FC79A0"/>
    <w:rsid w:val="00090011"/>
    <w:rsid w:val="00276163"/>
    <w:rsid w:val="002E7DE3"/>
    <w:rsid w:val="005C0F04"/>
    <w:rsid w:val="00F62D56"/>
    <w:rsid w:val="00FC79A0"/>
  </w:rsids>
  <m:mathPr>
    <m:mathFont m:val="Monotype Sort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163"/>
    <w:pPr>
      <w:widowControl w:val="0"/>
    </w:pPr>
    <w:rPr>
      <w:snapToGrid w:val="0"/>
      <w:sz w:val="24"/>
    </w:rPr>
  </w:style>
  <w:style w:type="paragraph" w:styleId="Heading1">
    <w:name w:val="heading 1"/>
    <w:basedOn w:val="Normal"/>
    <w:next w:val="Normal"/>
    <w:qFormat/>
    <w:rsid w:val="00276163"/>
    <w:pPr>
      <w:keepNext/>
      <w:ind w:firstLine="720"/>
      <w:outlineLvl w:val="0"/>
    </w:pPr>
    <w:rPr>
      <w:rFonts w:ascii="Arial" w:hAnsi="Arial"/>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276163"/>
  </w:style>
  <w:style w:type="paragraph" w:styleId="BodyText">
    <w:name w:val="Body Text"/>
    <w:basedOn w:val="Normal"/>
    <w:rsid w:val="00276163"/>
    <w:rPr>
      <w:rFonts w:ascii="Arial" w:hAnsi="Arial"/>
      <w:sz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501</Words>
  <Characters>2857</Characters>
  <Application>Microsoft Macintosh Word</Application>
  <DocSecurity>0</DocSecurity>
  <Lines>23</Lines>
  <Paragraphs>5</Paragraphs>
  <ScaleCrop>false</ScaleCrop>
  <HeadingPairs>
    <vt:vector size="2" baseType="variant">
      <vt:variant>
        <vt:lpstr>Title</vt:lpstr>
      </vt:variant>
      <vt:variant>
        <vt:i4>1</vt:i4>
      </vt:variant>
    </vt:vector>
  </HeadingPairs>
  <TitlesOfParts>
    <vt:vector size="1" baseType="lpstr">
      <vt:lpstr>Instructions for Use</vt:lpstr>
    </vt:vector>
  </TitlesOfParts>
  <Company>The Hymed Group</Company>
  <LinksUpToDate>false</LinksUpToDate>
  <CharactersWithSpaces>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Use</dc:title>
  <dc:subject/>
  <dc:creator>Anita Petito</dc:creator>
  <cp:keywords/>
  <cp:lastModifiedBy>Anita Petito</cp:lastModifiedBy>
  <cp:revision>2</cp:revision>
  <cp:lastPrinted>2012-10-10T18:40:00Z</cp:lastPrinted>
  <dcterms:created xsi:type="dcterms:W3CDTF">2013-04-08T16:26:00Z</dcterms:created>
  <dcterms:modified xsi:type="dcterms:W3CDTF">2013-04-08T16:26:00Z</dcterms:modified>
</cp:coreProperties>
</file>